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55" w:rsidRPr="004B2055" w:rsidRDefault="004B2055" w:rsidP="004B20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55">
        <w:rPr>
          <w:rFonts w:ascii="Times New Roman" w:hAnsi="Times New Roman" w:cs="Times New Roman"/>
          <w:b/>
          <w:sz w:val="28"/>
          <w:szCs w:val="28"/>
        </w:rPr>
        <w:t xml:space="preserve">Seniorská obálka (I.C.E. </w:t>
      </w:r>
      <w:proofErr w:type="gramStart"/>
      <w:r w:rsidRPr="004B2055">
        <w:rPr>
          <w:rFonts w:ascii="Times New Roman" w:hAnsi="Times New Roman" w:cs="Times New Roman"/>
          <w:b/>
          <w:sz w:val="28"/>
          <w:szCs w:val="28"/>
        </w:rPr>
        <w:t>karta</w:t>
      </w:r>
      <w:proofErr w:type="gramEnd"/>
      <w:r w:rsidRPr="004B2055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4B2055" w:rsidRPr="004B2055" w:rsidRDefault="004B2055" w:rsidP="004B2055">
      <w:pPr>
        <w:jc w:val="both"/>
        <w:rPr>
          <w:rFonts w:ascii="Times New Roman" w:hAnsi="Times New Roman" w:cs="Times New Roman"/>
          <w:sz w:val="24"/>
          <w:szCs w:val="24"/>
        </w:rPr>
      </w:pPr>
      <w:r w:rsidRPr="004B2055">
        <w:rPr>
          <w:rFonts w:ascii="Times New Roman" w:hAnsi="Times New Roman" w:cs="Times New Roman"/>
          <w:sz w:val="24"/>
          <w:szCs w:val="24"/>
        </w:rPr>
        <w:t xml:space="preserve">Město Kašperské Hory na základě spolupráce s projektem Implementace politiky stárnutí na krajskou úroveň Ministerstva práce a sociálních věcí se připojuje k distribuci Seniorské obálky pro naše občany. </w:t>
      </w:r>
    </w:p>
    <w:p w:rsidR="004B2055" w:rsidRPr="004B2055" w:rsidRDefault="004B2055" w:rsidP="004B2055">
      <w:pPr>
        <w:jc w:val="both"/>
        <w:rPr>
          <w:rFonts w:ascii="Times New Roman" w:hAnsi="Times New Roman" w:cs="Times New Roman"/>
          <w:sz w:val="24"/>
          <w:szCs w:val="24"/>
        </w:rPr>
      </w:pPr>
      <w:r w:rsidRPr="004B2055">
        <w:rPr>
          <w:rFonts w:ascii="Times New Roman" w:hAnsi="Times New Roman" w:cs="Times New Roman"/>
          <w:sz w:val="24"/>
          <w:szCs w:val="24"/>
        </w:rPr>
        <w:t xml:space="preserve">Seniorská obálka, také I.C.E. </w:t>
      </w:r>
      <w:proofErr w:type="gramStart"/>
      <w:r w:rsidRPr="004B2055">
        <w:rPr>
          <w:rFonts w:ascii="Times New Roman" w:hAnsi="Times New Roman" w:cs="Times New Roman"/>
          <w:sz w:val="24"/>
          <w:szCs w:val="24"/>
        </w:rPr>
        <w:t>karta</w:t>
      </w:r>
      <w:proofErr w:type="gramEnd"/>
      <w:r w:rsidRPr="004B2055">
        <w:rPr>
          <w:rFonts w:ascii="Times New Roman" w:hAnsi="Times New Roman" w:cs="Times New Roman"/>
          <w:sz w:val="24"/>
          <w:szCs w:val="24"/>
        </w:rPr>
        <w:t xml:space="preserve">, je tiskopis, který může napomoci seniorům v jejich tísni a ohrožení života, kdy seniora mohou postihnout náhlé zdravotní potíže a musí volat záchrannou pomoc. V kartě jsou vyplněny základní údaje o nemocech, alergiích, lécích, včetně jejich dávkování, jméno praktického lékaře a kontakty na své blízké osoby. Po vyplnění se karta složí nejlépe do průhledné plastové obálky a připevní na viditelném místě v bytě - na dveře lednice nebo vnitřní stranu vchodových dveří. </w:t>
      </w:r>
    </w:p>
    <w:p w:rsidR="004B2055" w:rsidRPr="004B2055" w:rsidRDefault="004B2055" w:rsidP="004B2055">
      <w:pPr>
        <w:jc w:val="both"/>
        <w:rPr>
          <w:rFonts w:ascii="Times New Roman" w:hAnsi="Times New Roman" w:cs="Times New Roman"/>
          <w:sz w:val="24"/>
          <w:szCs w:val="24"/>
        </w:rPr>
      </w:pPr>
      <w:r w:rsidRPr="004B2055">
        <w:rPr>
          <w:rFonts w:ascii="Times New Roman" w:hAnsi="Times New Roman" w:cs="Times New Roman"/>
          <w:sz w:val="24"/>
          <w:szCs w:val="24"/>
        </w:rPr>
        <w:t>Údaje uvedené na této kartě by měly být pravidelně aktualizovány.</w:t>
      </w:r>
    </w:p>
    <w:p w:rsidR="004B2055" w:rsidRPr="004B2055" w:rsidRDefault="004B2055" w:rsidP="004B2055">
      <w:pPr>
        <w:jc w:val="both"/>
        <w:rPr>
          <w:rFonts w:ascii="Times New Roman" w:hAnsi="Times New Roman" w:cs="Times New Roman"/>
          <w:sz w:val="24"/>
          <w:szCs w:val="24"/>
        </w:rPr>
      </w:pPr>
      <w:r w:rsidRPr="004B2055">
        <w:rPr>
          <w:rFonts w:ascii="Times New Roman" w:hAnsi="Times New Roman" w:cs="Times New Roman"/>
          <w:sz w:val="24"/>
          <w:szCs w:val="24"/>
        </w:rPr>
        <w:t>Tiskopis "Seniorská obálka" je možné:</w:t>
      </w:r>
    </w:p>
    <w:p w:rsidR="004B2055" w:rsidRPr="004B2055" w:rsidRDefault="004B2055" w:rsidP="004B2055">
      <w:pPr>
        <w:jc w:val="both"/>
        <w:rPr>
          <w:rFonts w:ascii="Times New Roman" w:hAnsi="Times New Roman" w:cs="Times New Roman"/>
          <w:sz w:val="24"/>
          <w:szCs w:val="24"/>
        </w:rPr>
      </w:pPr>
      <w:r w:rsidRPr="004B2055">
        <w:rPr>
          <w:rFonts w:ascii="Times New Roman" w:hAnsi="Times New Roman" w:cs="Times New Roman"/>
          <w:sz w:val="24"/>
          <w:szCs w:val="24"/>
        </w:rPr>
        <w:t>•vytisknout z níže uvedeného odkazu</w:t>
      </w:r>
    </w:p>
    <w:p w:rsidR="004B2055" w:rsidRDefault="004B2055" w:rsidP="004B2055">
      <w:pPr>
        <w:jc w:val="both"/>
        <w:rPr>
          <w:rFonts w:ascii="Times New Roman" w:hAnsi="Times New Roman" w:cs="Times New Roman"/>
          <w:sz w:val="24"/>
          <w:szCs w:val="24"/>
        </w:rPr>
      </w:pPr>
      <w:r w:rsidRPr="004B2055">
        <w:rPr>
          <w:rFonts w:ascii="Times New Roman" w:hAnsi="Times New Roman" w:cs="Times New Roman"/>
          <w:sz w:val="24"/>
          <w:szCs w:val="24"/>
        </w:rPr>
        <w:t xml:space="preserve">•vyzvednout na některém z níže uvedených distribučních míst: </w:t>
      </w:r>
    </w:p>
    <w:p w:rsidR="004B2055" w:rsidRDefault="004B2055" w:rsidP="004B2055">
      <w:pPr>
        <w:rPr>
          <w:rFonts w:ascii="Times New Roman" w:hAnsi="Times New Roman" w:cs="Times New Roman"/>
          <w:sz w:val="24"/>
          <w:szCs w:val="24"/>
        </w:rPr>
      </w:pPr>
    </w:p>
    <w:p w:rsidR="004B2055" w:rsidRDefault="004B2055" w:rsidP="004B20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345E2">
          <w:rPr>
            <w:rStyle w:val="Hypertextovodkaz"/>
            <w:rFonts w:ascii="Times New Roman" w:hAnsi="Times New Roman" w:cs="Times New Roman"/>
            <w:sz w:val="24"/>
            <w:szCs w:val="24"/>
          </w:rPr>
          <w:t>www.kasphory.cz/mesto/mestsky-urad/formulare</w:t>
        </w:r>
      </w:hyperlink>
    </w:p>
    <w:p w:rsidR="004B2055" w:rsidRDefault="004B2055" w:rsidP="004B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kulturní a informační středisko</w:t>
      </w:r>
    </w:p>
    <w:p w:rsidR="004B2055" w:rsidRPr="004B2055" w:rsidRDefault="004B2055" w:rsidP="004B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úřad Kašperské Hory, sociální odbor</w:t>
      </w:r>
    </w:p>
    <w:p w:rsidR="004B2055" w:rsidRPr="004B2055" w:rsidRDefault="004B2055" w:rsidP="004B2055">
      <w:pPr>
        <w:rPr>
          <w:rFonts w:ascii="Times New Roman" w:hAnsi="Times New Roman" w:cs="Times New Roman"/>
          <w:sz w:val="24"/>
          <w:szCs w:val="24"/>
        </w:rPr>
      </w:pPr>
    </w:p>
    <w:p w:rsidR="007E7F63" w:rsidRPr="004B2055" w:rsidRDefault="007E7F63">
      <w:pPr>
        <w:rPr>
          <w:rFonts w:ascii="Times New Roman" w:hAnsi="Times New Roman" w:cs="Times New Roman"/>
          <w:sz w:val="24"/>
          <w:szCs w:val="24"/>
        </w:rPr>
      </w:pPr>
    </w:p>
    <w:sectPr w:rsidR="007E7F63" w:rsidRPr="004B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55"/>
    <w:rsid w:val="004B2055"/>
    <w:rsid w:val="007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AFA4-B241-4A03-820C-EFFE28E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05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0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sphory.cz/mesto/mestsky-urad/formula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Kaisrová</dc:creator>
  <cp:keywords/>
  <dc:description/>
  <cp:lastModifiedBy>Marie Kaisrová</cp:lastModifiedBy>
  <cp:revision>1</cp:revision>
  <cp:lastPrinted>2020-03-05T10:12:00Z</cp:lastPrinted>
  <dcterms:created xsi:type="dcterms:W3CDTF">2020-03-05T10:09:00Z</dcterms:created>
  <dcterms:modified xsi:type="dcterms:W3CDTF">2020-03-05T10:17:00Z</dcterms:modified>
</cp:coreProperties>
</file>